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1000000">
      <w:pPr>
        <w:widowControl w:val="1"/>
        <w:spacing w:after="0" w:before="0" w:line="240" w:lineRule="auto"/>
        <w:ind w:firstLine="709" w:left="0" w:right="0"/>
        <w:jc w:val="both"/>
        <w:rPr>
          <w:rFonts w:ascii="Times New Roman" w:hAnsi="Times New Roman"/>
          <w:b w:val="1"/>
          <w:sz w:val="28"/>
        </w:rPr>
      </w:pPr>
      <w:r>
        <w:rPr>
          <w:rFonts w:ascii="Times New Roman" w:hAnsi="Times New Roman"/>
          <w:b w:val="1"/>
          <w:sz w:val="28"/>
        </w:rPr>
        <w:t>Расширен перечень дел, которые могут рассмотреть в отсутствие подсудимого</w:t>
      </w:r>
    </w:p>
    <w:p w14:paraId="02000000">
      <w:pPr>
        <w:widowControl w:val="1"/>
        <w:spacing w:after="0" w:before="0" w:line="240" w:lineRule="auto"/>
        <w:ind w:firstLine="709" w:left="0" w:right="0"/>
        <w:jc w:val="both"/>
        <w:rPr>
          <w:rFonts w:ascii="Times New Roman" w:hAnsi="Times New Roman"/>
          <w:b w:val="0"/>
          <w:sz w:val="28"/>
        </w:rPr>
      </w:pPr>
    </w:p>
    <w:p w14:paraId="03000000">
      <w:pPr>
        <w:widowControl w:val="1"/>
        <w:spacing w:after="0" w:before="0" w:line="240" w:lineRule="auto"/>
        <w:ind w:firstLine="709" w:left="0" w:right="0"/>
        <w:jc w:val="both"/>
        <w:rPr>
          <w:rFonts w:ascii="Times New Roman" w:hAnsi="Times New Roman"/>
          <w:b w:val="0"/>
          <w:sz w:val="28"/>
        </w:rPr>
      </w:pPr>
      <w:r>
        <w:rPr>
          <w:rFonts w:ascii="Times New Roman" w:hAnsi="Times New Roman"/>
          <w:b w:val="0"/>
          <w:sz w:val="28"/>
        </w:rPr>
        <w:t>По смыслу части 5 статьи 247 УПК РФ суд вправе рассмотреть уголовное дело в отсутствие обвиняемого, находящегося за пределами Российской Федерации, который уклоняется от явки в суд и не был привлечен к уголовной ответственности на территории иностранного государства по данному уголовному делу, а также в случаях, когда обвиняемый, находящийся на территории Российской Федерации, уклоняется от явки в суд и его место нахождения неизвестно.</w:t>
      </w:r>
    </w:p>
    <w:p w14:paraId="04000000">
      <w:pPr>
        <w:widowControl w:val="1"/>
        <w:spacing w:after="0" w:before="0" w:line="240" w:lineRule="auto"/>
        <w:ind w:firstLine="709" w:left="0" w:right="0"/>
        <w:jc w:val="both"/>
        <w:rPr>
          <w:rFonts w:ascii="Times New Roman" w:hAnsi="Times New Roman"/>
          <w:b w:val="0"/>
          <w:sz w:val="28"/>
        </w:rPr>
      </w:pPr>
    </w:p>
    <w:p w14:paraId="05000000">
      <w:pPr>
        <w:widowControl w:val="1"/>
        <w:spacing w:after="0" w:before="0" w:line="240" w:lineRule="auto"/>
        <w:ind w:firstLine="709" w:left="0" w:right="0"/>
        <w:jc w:val="both"/>
        <w:rPr>
          <w:rFonts w:ascii="Times New Roman" w:hAnsi="Times New Roman"/>
          <w:b w:val="0"/>
          <w:sz w:val="28"/>
        </w:rPr>
      </w:pPr>
      <w:r>
        <w:rPr>
          <w:rFonts w:ascii="Times New Roman" w:hAnsi="Times New Roman"/>
          <w:b w:val="0"/>
          <w:sz w:val="28"/>
        </w:rPr>
        <w:t>Федеральным законом от 21.04.2025 № 101-ФЗ «О внесении изменения в статью 247 Уголовно-процессуального кодекса Российской Федерации» расширен перечень дел, которые могут рассмотреть в отсутствие подсудимого. Статью после слов «тяжких преступлениях» дополнили словами «, а также о преступлениях небольшой или средней тяжести, предусмотренных статьями 205.2 частью первой, 207.1, 207.2, 207.3 частью первой, 212 частью третьей, 243.4, 280, 280.1, 280.3 частью первой, 280.4 частью первой, 282 частью первой, 282.4, 284.1 частями первой и второй, 284.2, 284.3 частью первой, 301 частями первой и второй, 330.1, 330.3, 354, 354.1 Уголовного кодекса Российской Федерации».</w:t>
      </w:r>
    </w:p>
    <w:p w14:paraId="06000000">
      <w:pPr>
        <w:widowControl w:val="1"/>
        <w:spacing w:after="0" w:before="0" w:line="240" w:lineRule="auto"/>
        <w:ind w:firstLine="709" w:left="0" w:right="0"/>
        <w:jc w:val="both"/>
        <w:rPr>
          <w:rFonts w:ascii="Times New Roman" w:hAnsi="Times New Roman"/>
          <w:b w:val="0"/>
          <w:sz w:val="28"/>
        </w:rPr>
      </w:pPr>
    </w:p>
    <w:p w14:paraId="07000000">
      <w:pPr>
        <w:widowControl w:val="1"/>
        <w:spacing w:after="0" w:before="0" w:line="240" w:lineRule="auto"/>
        <w:ind w:firstLine="709" w:left="0" w:right="0"/>
        <w:jc w:val="both"/>
        <w:rPr>
          <w:rFonts w:ascii="Times New Roman" w:hAnsi="Times New Roman"/>
          <w:b w:val="0"/>
          <w:sz w:val="28"/>
        </w:rPr>
      </w:pPr>
      <w:r>
        <w:rPr>
          <w:rFonts w:ascii="Times New Roman" w:hAnsi="Times New Roman"/>
          <w:b w:val="0"/>
          <w:sz w:val="28"/>
        </w:rPr>
        <w:t>Таким образом, включили некоторые дела небольшой и средней тяжести, например:</w:t>
      </w:r>
    </w:p>
    <w:p w14:paraId="08000000">
      <w:pPr>
        <w:widowControl w:val="1"/>
        <w:spacing w:after="0" w:before="0" w:line="240" w:lineRule="auto"/>
        <w:ind w:firstLine="709" w:left="0" w:right="0"/>
        <w:jc w:val="both"/>
        <w:rPr>
          <w:rFonts w:ascii="Times New Roman" w:hAnsi="Times New Roman"/>
          <w:b w:val="0"/>
          <w:sz w:val="28"/>
        </w:rPr>
      </w:pPr>
    </w:p>
    <w:p w14:paraId="09000000">
      <w:pPr>
        <w:widowControl w:val="1"/>
        <w:spacing w:after="0" w:before="0" w:line="240" w:lineRule="auto"/>
        <w:ind w:firstLine="709" w:left="0" w:right="0"/>
        <w:jc w:val="both"/>
        <w:rPr>
          <w:rFonts w:ascii="Times New Roman" w:hAnsi="Times New Roman"/>
          <w:b w:val="0"/>
          <w:sz w:val="28"/>
        </w:rPr>
      </w:pPr>
      <w:r>
        <w:rPr>
          <w:rFonts w:ascii="Times New Roman" w:hAnsi="Times New Roman"/>
          <w:b w:val="0"/>
          <w:sz w:val="28"/>
        </w:rPr>
        <w:t>- публичное оправдание терроризма;</w:t>
      </w:r>
    </w:p>
    <w:p w14:paraId="0A000000">
      <w:pPr>
        <w:widowControl w:val="1"/>
        <w:spacing w:after="0" w:before="0" w:line="240" w:lineRule="auto"/>
        <w:ind w:firstLine="709" w:left="0" w:right="0"/>
        <w:jc w:val="both"/>
        <w:rPr>
          <w:rFonts w:ascii="Times New Roman" w:hAnsi="Times New Roman"/>
          <w:b w:val="0"/>
          <w:sz w:val="28"/>
        </w:rPr>
      </w:pPr>
    </w:p>
    <w:p w14:paraId="0B000000">
      <w:pPr>
        <w:widowControl w:val="1"/>
        <w:spacing w:after="0" w:before="0" w:line="240" w:lineRule="auto"/>
        <w:ind w:firstLine="709" w:left="0" w:right="0"/>
        <w:jc w:val="both"/>
        <w:rPr>
          <w:rFonts w:ascii="Times New Roman" w:hAnsi="Times New Roman"/>
          <w:b w:val="0"/>
          <w:sz w:val="28"/>
        </w:rPr>
      </w:pPr>
      <w:r>
        <w:rPr>
          <w:rFonts w:ascii="Times New Roman" w:hAnsi="Times New Roman"/>
          <w:b w:val="0"/>
          <w:sz w:val="28"/>
        </w:rPr>
        <w:t>- призывы к массовым беспорядкам и экстремизму;</w:t>
      </w:r>
    </w:p>
    <w:p w14:paraId="0C000000">
      <w:pPr>
        <w:widowControl w:val="1"/>
        <w:spacing w:after="0" w:before="0" w:line="240" w:lineRule="auto"/>
        <w:ind w:firstLine="709" w:left="0" w:right="0"/>
        <w:jc w:val="both"/>
        <w:rPr>
          <w:rFonts w:ascii="Times New Roman" w:hAnsi="Times New Roman"/>
          <w:b w:val="0"/>
          <w:sz w:val="28"/>
        </w:rPr>
      </w:pPr>
    </w:p>
    <w:p w14:paraId="0D000000">
      <w:pPr>
        <w:widowControl w:val="1"/>
        <w:spacing w:after="0" w:before="0" w:line="240" w:lineRule="auto"/>
        <w:ind w:firstLine="709" w:left="0" w:right="0"/>
        <w:jc w:val="both"/>
        <w:rPr>
          <w:rFonts w:ascii="Times New Roman" w:hAnsi="Times New Roman"/>
          <w:b w:val="0"/>
          <w:sz w:val="28"/>
        </w:rPr>
      </w:pPr>
      <w:r>
        <w:rPr>
          <w:rFonts w:ascii="Times New Roman" w:hAnsi="Times New Roman"/>
          <w:b w:val="0"/>
          <w:sz w:val="28"/>
        </w:rPr>
        <w:t>- неоднократная пропаганда нацистской символики;</w:t>
      </w:r>
    </w:p>
    <w:p w14:paraId="0E000000">
      <w:pPr>
        <w:widowControl w:val="1"/>
        <w:spacing w:after="0" w:before="0" w:line="240" w:lineRule="auto"/>
        <w:ind w:firstLine="709" w:left="0" w:right="0"/>
        <w:jc w:val="both"/>
        <w:rPr>
          <w:rFonts w:ascii="Times New Roman" w:hAnsi="Times New Roman"/>
          <w:b w:val="0"/>
          <w:sz w:val="28"/>
        </w:rPr>
      </w:pPr>
    </w:p>
    <w:p w14:paraId="0F000000">
      <w:pPr>
        <w:widowControl w:val="1"/>
        <w:spacing w:after="0" w:before="0" w:line="240" w:lineRule="auto"/>
        <w:ind w:firstLine="709" w:left="0" w:right="0"/>
        <w:jc w:val="both"/>
        <w:rPr>
          <w:rFonts w:ascii="Times New Roman" w:hAnsi="Times New Roman"/>
          <w:b w:val="0"/>
          <w:sz w:val="28"/>
        </w:rPr>
      </w:pPr>
      <w:r>
        <w:rPr>
          <w:rFonts w:ascii="Times New Roman" w:hAnsi="Times New Roman"/>
          <w:b w:val="0"/>
          <w:sz w:val="28"/>
        </w:rPr>
        <w:t>- участие в деятельности нежелательной международной организации;</w:t>
      </w:r>
    </w:p>
    <w:p w14:paraId="10000000">
      <w:pPr>
        <w:widowControl w:val="1"/>
        <w:spacing w:after="0" w:before="0" w:line="240" w:lineRule="auto"/>
        <w:ind w:firstLine="709" w:left="0" w:right="0"/>
        <w:jc w:val="both"/>
        <w:rPr>
          <w:rFonts w:ascii="Times New Roman" w:hAnsi="Times New Roman"/>
          <w:b w:val="0"/>
          <w:sz w:val="28"/>
        </w:rPr>
      </w:pPr>
    </w:p>
    <w:p w14:paraId="11000000">
      <w:pPr>
        <w:widowControl w:val="1"/>
        <w:spacing w:after="0" w:before="0" w:line="240" w:lineRule="auto"/>
        <w:ind w:firstLine="709" w:left="0" w:right="0"/>
        <w:jc w:val="both"/>
        <w:rPr>
          <w:rFonts w:ascii="Times New Roman" w:hAnsi="Times New Roman"/>
          <w:b w:val="0"/>
          <w:sz w:val="28"/>
        </w:rPr>
      </w:pPr>
      <w:r>
        <w:rPr>
          <w:rFonts w:ascii="Times New Roman" w:hAnsi="Times New Roman"/>
          <w:b w:val="0"/>
          <w:sz w:val="28"/>
        </w:rPr>
        <w:t>- призывы к санкциям;</w:t>
      </w:r>
    </w:p>
    <w:p w14:paraId="12000000">
      <w:pPr>
        <w:widowControl w:val="1"/>
        <w:spacing w:after="0" w:before="0" w:line="240" w:lineRule="auto"/>
        <w:ind w:firstLine="709" w:left="0" w:right="0"/>
        <w:jc w:val="both"/>
        <w:rPr>
          <w:rFonts w:ascii="Times New Roman" w:hAnsi="Times New Roman"/>
          <w:b w:val="0"/>
          <w:sz w:val="28"/>
        </w:rPr>
      </w:pPr>
    </w:p>
    <w:p w14:paraId="13000000">
      <w:pPr>
        <w:widowControl w:val="1"/>
        <w:spacing w:after="0" w:before="0" w:line="240" w:lineRule="auto"/>
        <w:ind w:firstLine="709" w:left="0" w:right="0"/>
        <w:jc w:val="both"/>
        <w:rPr>
          <w:rFonts w:ascii="Times New Roman" w:hAnsi="Times New Roman"/>
          <w:b w:val="0"/>
          <w:sz w:val="28"/>
        </w:rPr>
      </w:pPr>
      <w:r>
        <w:rPr>
          <w:rFonts w:ascii="Times New Roman" w:hAnsi="Times New Roman"/>
          <w:b w:val="0"/>
          <w:sz w:val="28"/>
        </w:rPr>
        <w:t>уничтожение либо повреждение воинских захоронений;</w:t>
      </w:r>
    </w:p>
    <w:p w14:paraId="14000000">
      <w:pPr>
        <w:widowControl w:val="1"/>
        <w:spacing w:after="0" w:before="0" w:line="240" w:lineRule="auto"/>
        <w:ind w:firstLine="709" w:left="0" w:right="0"/>
        <w:jc w:val="both"/>
        <w:rPr>
          <w:rFonts w:ascii="Times New Roman" w:hAnsi="Times New Roman"/>
          <w:b w:val="0"/>
          <w:sz w:val="28"/>
        </w:rPr>
      </w:pPr>
      <w:r>
        <w:rPr>
          <w:rFonts w:ascii="Times New Roman" w:hAnsi="Times New Roman"/>
          <w:b w:val="0"/>
          <w:sz w:val="28"/>
        </w:rPr>
        <w:t>возбуждение ненависти либо вражды, унижение человеческого достоинства.</w:t>
      </w:r>
    </w:p>
    <w:p w14:paraId="15000000">
      <w:pPr>
        <w:widowControl w:val="1"/>
        <w:spacing w:after="0" w:before="0" w:line="240" w:lineRule="auto"/>
        <w:ind w:firstLine="709" w:left="0" w:right="0"/>
        <w:jc w:val="both"/>
        <w:rPr>
          <w:rFonts w:ascii="Times New Roman" w:hAnsi="Times New Roman"/>
          <w:b w:val="0"/>
          <w:sz w:val="28"/>
        </w:rPr>
      </w:pPr>
      <w:r>
        <w:rPr>
          <w:rFonts w:ascii="Times New Roman" w:hAnsi="Times New Roman"/>
          <w:b w:val="0"/>
          <w:sz w:val="28"/>
        </w:rPr>
        <w:t xml:space="preserve"> </w:t>
      </w:r>
    </w:p>
    <w:p w14:paraId="16000000">
      <w:pPr>
        <w:widowControl w:val="1"/>
        <w:spacing w:after="0" w:before="0" w:line="240" w:lineRule="auto"/>
        <w:ind w:firstLine="0" w:left="0" w:right="0"/>
        <w:jc w:val="both"/>
        <w:rPr>
          <w:rFonts w:ascii="Times New Roman" w:hAnsi="Times New Roman"/>
          <w:b w:val="0"/>
          <w:sz w:val="28"/>
        </w:rPr>
      </w:pPr>
      <w:r>
        <w:rPr>
          <w:rFonts w:ascii="Times New Roman" w:hAnsi="Times New Roman"/>
          <w:b w:val="0"/>
          <w:sz w:val="28"/>
        </w:rPr>
        <w:t>Прокурор Курманаевского района</w:t>
      </w:r>
    </w:p>
    <w:p w14:paraId="17000000">
      <w:pPr>
        <w:widowControl w:val="1"/>
        <w:spacing w:after="0" w:before="0" w:line="240" w:lineRule="auto"/>
        <w:ind w:firstLine="0" w:left="0" w:right="0"/>
        <w:jc w:val="both"/>
        <w:rPr>
          <w:rFonts w:ascii="Times New Roman" w:hAnsi="Times New Roman"/>
          <w:b w:val="0"/>
          <w:sz w:val="28"/>
        </w:rPr>
      </w:pPr>
    </w:p>
    <w:p w14:paraId="18000000">
      <w:pPr>
        <w:widowControl w:val="1"/>
        <w:spacing w:after="0" w:before="0" w:line="240" w:lineRule="auto"/>
        <w:ind w:firstLine="0" w:left="0" w:right="0"/>
        <w:jc w:val="both"/>
        <w:rPr>
          <w:rFonts w:ascii="Times New Roman" w:hAnsi="Times New Roman"/>
          <w:b w:val="0"/>
          <w:sz w:val="28"/>
        </w:rPr>
      </w:pPr>
      <w:r>
        <w:rPr>
          <w:rFonts w:ascii="Times New Roman" w:hAnsi="Times New Roman"/>
          <w:b w:val="0"/>
          <w:sz w:val="28"/>
        </w:rPr>
        <w:t>советник юстиции                                                                                     Ю.Е. Кучуров</w:t>
      </w:r>
    </w:p>
    <w:sectPr>
      <w:pgSz w:h="16838" w:orient="portrait" w:w="11906"/>
      <w:pgMar w:bottom="1134" w:left="1304" w:right="737" w:top="1134"/>
      <w:pgNumType w:fmt="decimal"/>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20"/>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XO Thames" w:hAnsi="XO Thames"/>
        <w:color w:val="000000"/>
        <w:spacing w:val="0"/>
        <w:sz w:val="24"/>
      </w:rPr>
    </w:rPrDefault>
    <w:pPrDefault>
      <w:pPr>
        <w:spacing w:after="0" w:before="0" w:line="240"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1" w:type="paragraph">
    <w:name w:val="Normal"/>
    <w:link w:val="Style_1_ch"/>
    <w:uiPriority w:val="0"/>
    <w:qFormat/>
    <w:pPr>
      <w:spacing w:line="240" w:lineRule="auto"/>
      <w:ind/>
      <w:jc w:val="both"/>
    </w:pPr>
    <w:rPr>
      <w:rFonts w:ascii="XO Thames" w:hAnsi="XO Thames"/>
      <w:sz w:val="28"/>
    </w:rPr>
  </w:style>
  <w:style w:default="1" w:styleId="Style_1_ch" w:type="character">
    <w:name w:val="Normal"/>
    <w:link w:val="Style_1"/>
    <w:rPr>
      <w:rFonts w:ascii="XO Thames" w:hAnsi="XO Thames"/>
      <w:sz w:val="28"/>
    </w:rPr>
  </w:style>
  <w:style w:styleId="Style_2" w:type="paragraph">
    <w:name w:val="toc 2"/>
    <w:next w:val="Style_1"/>
    <w:link w:val="Style_2_ch"/>
    <w:uiPriority w:val="39"/>
    <w:pPr>
      <w:ind w:firstLine="0" w:left="200"/>
      <w:jc w:val="left"/>
    </w:pPr>
    <w:rPr>
      <w:rFonts w:ascii="XO Thames" w:hAnsi="XO Thames"/>
      <w:sz w:val="28"/>
    </w:rPr>
  </w:style>
  <w:style w:styleId="Style_2_ch" w:type="character">
    <w:name w:val="toc 2"/>
    <w:link w:val="Style_2"/>
    <w:rPr>
      <w:rFonts w:ascii="XO Thames" w:hAnsi="XO Thames"/>
      <w:sz w:val="28"/>
    </w:rPr>
  </w:style>
  <w:style w:styleId="Style_3" w:type="paragraph">
    <w:name w:val="toc 4"/>
    <w:next w:val="Style_1"/>
    <w:link w:val="Style_3_ch"/>
    <w:uiPriority w:val="39"/>
    <w:pPr>
      <w:ind w:firstLine="0" w:left="600"/>
      <w:jc w:val="left"/>
    </w:pPr>
    <w:rPr>
      <w:rFonts w:ascii="XO Thames" w:hAnsi="XO Thames"/>
      <w:sz w:val="28"/>
    </w:rPr>
  </w:style>
  <w:style w:styleId="Style_3_ch" w:type="character">
    <w:name w:val="toc 4"/>
    <w:link w:val="Style_3"/>
    <w:rPr>
      <w:rFonts w:ascii="XO Thames" w:hAnsi="XO Thames"/>
      <w:sz w:val="28"/>
    </w:rPr>
  </w:style>
  <w:style w:styleId="Style_4" w:type="paragraph">
    <w:name w:val="toc 6"/>
    <w:next w:val="Style_1"/>
    <w:link w:val="Style_4_ch"/>
    <w:uiPriority w:val="39"/>
    <w:pPr>
      <w:ind w:firstLine="0" w:left="1000"/>
      <w:jc w:val="left"/>
    </w:pPr>
    <w:rPr>
      <w:rFonts w:ascii="XO Thames" w:hAnsi="XO Thames"/>
      <w:sz w:val="28"/>
    </w:rPr>
  </w:style>
  <w:style w:styleId="Style_4_ch" w:type="character">
    <w:name w:val="toc 6"/>
    <w:link w:val="Style_4"/>
    <w:rPr>
      <w:rFonts w:ascii="XO Thames" w:hAnsi="XO Thames"/>
      <w:sz w:val="28"/>
    </w:rPr>
  </w:style>
  <w:style w:styleId="Style_5" w:type="paragraph">
    <w:name w:val="toc 7"/>
    <w:next w:val="Style_1"/>
    <w:link w:val="Style_5_ch"/>
    <w:uiPriority w:val="39"/>
    <w:pPr>
      <w:ind w:firstLine="0" w:left="1200"/>
      <w:jc w:val="left"/>
    </w:pPr>
    <w:rPr>
      <w:rFonts w:ascii="XO Thames" w:hAnsi="XO Thames"/>
      <w:sz w:val="28"/>
    </w:rPr>
  </w:style>
  <w:style w:styleId="Style_5_ch" w:type="character">
    <w:name w:val="toc 7"/>
    <w:link w:val="Style_5"/>
    <w:rPr>
      <w:rFonts w:ascii="XO Thames" w:hAnsi="XO Thames"/>
      <w:sz w:val="28"/>
    </w:rPr>
  </w:style>
  <w:style w:styleId="Style_6" w:type="paragraph">
    <w:name w:val="Endnote"/>
    <w:link w:val="Style_6_ch"/>
    <w:pPr>
      <w:ind w:firstLine="851" w:left="0"/>
      <w:jc w:val="both"/>
    </w:pPr>
    <w:rPr>
      <w:rFonts w:ascii="XO Thames" w:hAnsi="XO Thames"/>
      <w:sz w:val="22"/>
    </w:rPr>
  </w:style>
  <w:style w:styleId="Style_6_ch" w:type="character">
    <w:name w:val="Endnote"/>
    <w:link w:val="Style_6"/>
    <w:rPr>
      <w:rFonts w:ascii="XO Thames" w:hAnsi="XO Thames"/>
      <w:sz w:val="22"/>
    </w:rPr>
  </w:style>
  <w:style w:styleId="Style_7" w:type="paragraph">
    <w:name w:val="heading 3"/>
    <w:next w:val="Style_1"/>
    <w:link w:val="Style_7_ch"/>
    <w:uiPriority w:val="9"/>
    <w:qFormat/>
    <w:pPr>
      <w:spacing w:after="120" w:before="120"/>
      <w:ind/>
      <w:jc w:val="both"/>
      <w:outlineLvl w:val="2"/>
    </w:pPr>
    <w:rPr>
      <w:rFonts w:ascii="XO Thames" w:hAnsi="XO Thames"/>
      <w:b w:val="1"/>
      <w:sz w:val="26"/>
    </w:rPr>
  </w:style>
  <w:style w:styleId="Style_7_ch" w:type="character">
    <w:name w:val="heading 3"/>
    <w:link w:val="Style_7"/>
    <w:rPr>
      <w:rFonts w:ascii="XO Thames" w:hAnsi="XO Thames"/>
      <w:b w:val="1"/>
      <w:sz w:val="26"/>
    </w:rPr>
  </w:style>
  <w:style w:styleId="Style_8" w:type="paragraph">
    <w:name w:val="toc 3"/>
    <w:next w:val="Style_1"/>
    <w:link w:val="Style_8_ch"/>
    <w:uiPriority w:val="39"/>
    <w:pPr>
      <w:ind w:firstLine="0" w:left="400"/>
      <w:jc w:val="left"/>
    </w:pPr>
    <w:rPr>
      <w:rFonts w:ascii="XO Thames" w:hAnsi="XO Thames"/>
      <w:sz w:val="28"/>
    </w:rPr>
  </w:style>
  <w:style w:styleId="Style_8_ch" w:type="character">
    <w:name w:val="toc 3"/>
    <w:link w:val="Style_8"/>
    <w:rPr>
      <w:rFonts w:ascii="XO Thames" w:hAnsi="XO Thames"/>
      <w:sz w:val="28"/>
    </w:rPr>
  </w:style>
  <w:style w:styleId="Style_9" w:type="paragraph">
    <w:name w:val="heading 5"/>
    <w:next w:val="Style_1"/>
    <w:link w:val="Style_9_ch"/>
    <w:uiPriority w:val="9"/>
    <w:qFormat/>
    <w:pPr>
      <w:spacing w:after="120" w:before="120"/>
      <w:ind/>
      <w:jc w:val="both"/>
      <w:outlineLvl w:val="4"/>
    </w:pPr>
    <w:rPr>
      <w:rFonts w:ascii="XO Thames" w:hAnsi="XO Thames"/>
      <w:b w:val="1"/>
      <w:sz w:val="22"/>
    </w:rPr>
  </w:style>
  <w:style w:styleId="Style_9_ch" w:type="character">
    <w:name w:val="heading 5"/>
    <w:link w:val="Style_9"/>
    <w:rPr>
      <w:rFonts w:ascii="XO Thames" w:hAnsi="XO Thames"/>
      <w:b w:val="1"/>
      <w:sz w:val="22"/>
    </w:rPr>
  </w:style>
  <w:style w:styleId="Style_10" w:type="paragraph">
    <w:name w:val="heading 1"/>
    <w:next w:val="Style_1"/>
    <w:link w:val="Style_10_ch"/>
    <w:uiPriority w:val="9"/>
    <w:qFormat/>
    <w:pPr>
      <w:spacing w:after="120" w:before="120"/>
      <w:ind/>
      <w:jc w:val="both"/>
      <w:outlineLvl w:val="0"/>
    </w:pPr>
    <w:rPr>
      <w:rFonts w:ascii="XO Thames" w:hAnsi="XO Thames"/>
      <w:b w:val="1"/>
      <w:sz w:val="32"/>
    </w:rPr>
  </w:style>
  <w:style w:styleId="Style_10_ch" w:type="character">
    <w:name w:val="heading 1"/>
    <w:link w:val="Style_10"/>
    <w:rPr>
      <w:rFonts w:ascii="XO Thames" w:hAnsi="XO Thames"/>
      <w:b w:val="1"/>
      <w:sz w:val="32"/>
    </w:rPr>
  </w:style>
  <w:style w:styleId="Style_11" w:type="paragraph">
    <w:name w:val="Hyperlink"/>
    <w:link w:val="Style_11_ch"/>
    <w:rPr>
      <w:color w:val="0000FF"/>
      <w:u w:val="single"/>
    </w:rPr>
  </w:style>
  <w:style w:styleId="Style_11_ch" w:type="character">
    <w:name w:val="Hyperlink"/>
    <w:link w:val="Style_11"/>
    <w:rPr>
      <w:color w:val="0000FF"/>
      <w:u w:val="single"/>
    </w:rPr>
  </w:style>
  <w:style w:styleId="Style_12" w:type="paragraph">
    <w:name w:val="Footnote"/>
    <w:link w:val="Style_12_ch"/>
    <w:pPr>
      <w:ind w:firstLine="851" w:left="0"/>
      <w:jc w:val="both"/>
    </w:pPr>
    <w:rPr>
      <w:rFonts w:ascii="XO Thames" w:hAnsi="XO Thames"/>
      <w:sz w:val="22"/>
    </w:rPr>
  </w:style>
  <w:style w:styleId="Style_12_ch" w:type="character">
    <w:name w:val="Footnote"/>
    <w:link w:val="Style_12"/>
    <w:rPr>
      <w:rFonts w:ascii="XO Thames" w:hAnsi="XO Thames"/>
      <w:sz w:val="22"/>
    </w:rPr>
  </w:style>
  <w:style w:styleId="Style_13" w:type="paragraph">
    <w:name w:val="toc 1"/>
    <w:next w:val="Style_1"/>
    <w:link w:val="Style_13_ch"/>
    <w:uiPriority w:val="39"/>
    <w:pPr>
      <w:ind w:firstLine="0" w:left="0"/>
      <w:jc w:val="left"/>
    </w:pPr>
    <w:rPr>
      <w:rFonts w:ascii="XO Thames" w:hAnsi="XO Thames"/>
      <w:b w:val="1"/>
      <w:sz w:val="28"/>
    </w:rPr>
  </w:style>
  <w:style w:styleId="Style_13_ch" w:type="character">
    <w:name w:val="toc 1"/>
    <w:link w:val="Style_13"/>
    <w:rPr>
      <w:rFonts w:ascii="XO Thames" w:hAnsi="XO Thames"/>
      <w:b w:val="1"/>
      <w:sz w:val="28"/>
    </w:rPr>
  </w:style>
  <w:style w:styleId="Style_14" w:type="paragraph">
    <w:name w:val="Header and Footer"/>
    <w:link w:val="Style_14_ch"/>
    <w:pPr>
      <w:spacing w:line="240" w:lineRule="auto"/>
      <w:ind/>
      <w:jc w:val="both"/>
    </w:pPr>
    <w:rPr>
      <w:rFonts w:ascii="XO Thames" w:hAnsi="XO Thames"/>
      <w:sz w:val="28"/>
    </w:rPr>
  </w:style>
  <w:style w:styleId="Style_14_ch" w:type="character">
    <w:name w:val="Header and Footer"/>
    <w:link w:val="Style_14"/>
    <w:rPr>
      <w:rFonts w:ascii="XO Thames" w:hAnsi="XO Thames"/>
      <w:sz w:val="28"/>
    </w:rPr>
  </w:style>
  <w:style w:styleId="Style_15" w:type="paragraph">
    <w:name w:val="toc 9"/>
    <w:next w:val="Style_1"/>
    <w:link w:val="Style_15_ch"/>
    <w:uiPriority w:val="39"/>
    <w:pPr>
      <w:ind w:firstLine="0" w:left="1600"/>
      <w:jc w:val="left"/>
    </w:pPr>
    <w:rPr>
      <w:rFonts w:ascii="XO Thames" w:hAnsi="XO Thames"/>
      <w:sz w:val="28"/>
    </w:rPr>
  </w:style>
  <w:style w:styleId="Style_15_ch" w:type="character">
    <w:name w:val="toc 9"/>
    <w:link w:val="Style_15"/>
    <w:rPr>
      <w:rFonts w:ascii="XO Thames" w:hAnsi="XO Thames"/>
      <w:sz w:val="28"/>
    </w:rPr>
  </w:style>
  <w:style w:styleId="Style_16" w:type="paragraph">
    <w:name w:val="toc 8"/>
    <w:next w:val="Style_1"/>
    <w:link w:val="Style_16_ch"/>
    <w:uiPriority w:val="39"/>
    <w:pPr>
      <w:ind w:firstLine="0" w:left="1400"/>
      <w:jc w:val="left"/>
    </w:pPr>
    <w:rPr>
      <w:rFonts w:ascii="XO Thames" w:hAnsi="XO Thames"/>
      <w:sz w:val="28"/>
    </w:rPr>
  </w:style>
  <w:style w:styleId="Style_16_ch" w:type="character">
    <w:name w:val="toc 8"/>
    <w:link w:val="Style_16"/>
    <w:rPr>
      <w:rFonts w:ascii="XO Thames" w:hAnsi="XO Thames"/>
      <w:sz w:val="28"/>
    </w:rPr>
  </w:style>
  <w:style w:styleId="Style_17" w:type="paragraph">
    <w:name w:val="toc 5"/>
    <w:next w:val="Style_1"/>
    <w:link w:val="Style_17_ch"/>
    <w:uiPriority w:val="39"/>
    <w:pPr>
      <w:ind w:firstLine="0" w:left="800"/>
      <w:jc w:val="left"/>
    </w:pPr>
    <w:rPr>
      <w:rFonts w:ascii="XO Thames" w:hAnsi="XO Thames"/>
      <w:sz w:val="28"/>
    </w:rPr>
  </w:style>
  <w:style w:styleId="Style_17_ch" w:type="character">
    <w:name w:val="toc 5"/>
    <w:link w:val="Style_17"/>
    <w:rPr>
      <w:rFonts w:ascii="XO Thames" w:hAnsi="XO Thames"/>
      <w:sz w:val="28"/>
    </w:rPr>
  </w:style>
  <w:style w:styleId="Style_18" w:type="paragraph">
    <w:name w:val="Subtitle"/>
    <w:next w:val="Style_1"/>
    <w:link w:val="Style_18_ch"/>
    <w:uiPriority w:val="11"/>
    <w:qFormat/>
    <w:pPr>
      <w:ind/>
      <w:jc w:val="both"/>
    </w:pPr>
    <w:rPr>
      <w:rFonts w:ascii="XO Thames" w:hAnsi="XO Thames"/>
      <w:i w:val="1"/>
      <w:sz w:val="24"/>
    </w:rPr>
  </w:style>
  <w:style w:styleId="Style_18_ch" w:type="character">
    <w:name w:val="Subtitle"/>
    <w:link w:val="Style_18"/>
    <w:rPr>
      <w:rFonts w:ascii="XO Thames" w:hAnsi="XO Thames"/>
      <w:i w:val="1"/>
      <w:sz w:val="24"/>
    </w:rPr>
  </w:style>
  <w:style w:styleId="Style_19" w:type="paragraph">
    <w:name w:val="Title"/>
    <w:next w:val="Style_1"/>
    <w:link w:val="Style_19_ch"/>
    <w:uiPriority w:val="10"/>
    <w:qFormat/>
    <w:pPr>
      <w:spacing w:after="567" w:before="567"/>
      <w:ind/>
      <w:jc w:val="center"/>
    </w:pPr>
    <w:rPr>
      <w:rFonts w:ascii="XO Thames" w:hAnsi="XO Thames"/>
      <w:b w:val="1"/>
      <w:caps w:val="1"/>
      <w:sz w:val="40"/>
    </w:rPr>
  </w:style>
  <w:style w:styleId="Style_19_ch" w:type="character">
    <w:name w:val="Title"/>
    <w:link w:val="Style_19"/>
    <w:rPr>
      <w:rFonts w:ascii="XO Thames" w:hAnsi="XO Thames"/>
      <w:b w:val="1"/>
      <w:caps w:val="1"/>
      <w:sz w:val="40"/>
    </w:rPr>
  </w:style>
  <w:style w:styleId="Style_20" w:type="paragraph">
    <w:name w:val="heading 4"/>
    <w:next w:val="Style_1"/>
    <w:link w:val="Style_20_ch"/>
    <w:uiPriority w:val="9"/>
    <w:qFormat/>
    <w:pPr>
      <w:spacing w:after="120" w:before="120"/>
      <w:ind/>
      <w:jc w:val="both"/>
      <w:outlineLvl w:val="3"/>
    </w:pPr>
    <w:rPr>
      <w:rFonts w:ascii="XO Thames" w:hAnsi="XO Thames"/>
      <w:b w:val="1"/>
      <w:sz w:val="24"/>
    </w:rPr>
  </w:style>
  <w:style w:styleId="Style_20_ch" w:type="character">
    <w:name w:val="heading 4"/>
    <w:link w:val="Style_20"/>
    <w:rPr>
      <w:rFonts w:ascii="XO Thames" w:hAnsi="XO Thames"/>
      <w:b w:val="1"/>
      <w:sz w:val="24"/>
    </w:rPr>
  </w:style>
  <w:style w:styleId="Style_21" w:type="paragraph">
    <w:name w:val="heading 2"/>
    <w:next w:val="Style_1"/>
    <w:link w:val="Style_21_ch"/>
    <w:uiPriority w:val="9"/>
    <w:qFormat/>
    <w:pPr>
      <w:spacing w:after="120" w:before="120"/>
      <w:ind/>
      <w:jc w:val="both"/>
      <w:outlineLvl w:val="1"/>
    </w:pPr>
    <w:rPr>
      <w:rFonts w:ascii="XO Thames" w:hAnsi="XO Thames"/>
      <w:b w:val="1"/>
      <w:sz w:val="28"/>
    </w:rPr>
  </w:style>
  <w:style w:styleId="Style_21_ch" w:type="character">
    <w:name w:val="heading 2"/>
    <w:link w:val="Style_21"/>
    <w:rPr>
      <w:rFonts w:ascii="XO Thames" w:hAnsi="XO Thames"/>
      <w:b w:val="1"/>
      <w:sz w:val="28"/>
    </w:r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theme/theme1.xml" Type="http://schemas.openxmlformats.org/officeDocument/2006/relationships/theme"/>
  <Relationship Id="rId1" Target="fontTable.xml" Type="http://schemas.openxmlformats.org/officeDocument/2006/relationships/fontTable"/>
  <Relationship Id="rId2" Target="settings.xml" Type="http://schemas.openxmlformats.org/officeDocument/2006/relationships/settings"/>
  <Relationship Id="rId3" Target="styles.xml" Type="http://schemas.openxmlformats.org/officeDocument/2006/relationships/styles"/>
  <Relationship Id="rId4" Target="stylesWithEffects.xml" Type="http://schemas.microsoft.com/office/2007/relationships/stylesWithEffects"/>
  <Relationship Id="rId5" Target="webSettings.xml" Type="http://schemas.openxmlformats.org/officeDocument/2006/relationships/webSetting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63000"/>
                <a:satMod val="300000"/>
              </a:schemeClr>
            </a:gs>
            <a:gs pos="100000">
              <a:schemeClr val="phClr">
                <a:tint val="8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60000"/>
                <a:satMod val="350000"/>
              </a:schemeClr>
            </a:gs>
            <a:gs pos="40000">
              <a:schemeClr val="phClr">
                <a:tint val="55000"/>
                <a:shade val="99000"/>
                <a:satMod val="350000"/>
              </a:schemeClr>
            </a:gs>
            <a:gs pos="100000">
              <a:schemeClr val="phClr">
                <a:shade val="20000"/>
                <a:satMod val="255000"/>
              </a:schemeClr>
            </a:gs>
          </a:gsLst>
        </a:gradFill>
        <a:gradFill>
          <a:gsLst>
            <a:gs pos="0">
              <a:schemeClr val="phClr">
                <a:tint val="2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MyOffice-CoreFramework-Linux/31-1176.784.8785.803.1@b7d79ee91c0484ce8e5066dc862bfc403a32edb5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2025-11-21T06:51:06Z</dcterms:modified>
</cp:coreProperties>
</file>